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3.2.2.7 Inchidere de trimestru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3.2.2.7 Inchidere de trimestru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Inchidere de trimestru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Inchiderea preliminara de venituri si cheltuieli (incl. verificare si analiza)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Inchiderea modulului GL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Balanta preliminara la Controlling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echivalenta Cont de profit si pierdere din Hyperion cu cel din Balanta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Contabilitate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Ajustare in modul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Responsabil Financiar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Ajustare in modul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Ajustare in Hyperion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Calcul Servicii in curs de executie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Impozit pe profit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 servicii in curs de execuție in Contabilitate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 cont de venit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Actualizare calcul impozit pe profit curent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Calcul si inregistrare provizion pentru participare salariați la profit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Definitivare și transmitere Balanta  de verificare finala la Controlling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si primire informatii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Intocmire situatii financiare interimare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situatii financiare interimare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"_Toc256000024" </w:instrText>
      </w:r>
      <w:r>
        <w:fldChar w:fldCharType="separate"/>
      </w:r>
      <w:r>
        <w:rPr>
          <w:rStyle w:val="Hyperlink"/>
        </w:rPr>
        <w:t>1.1.1.20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Ajustare situatii financiare interimare</w:t>
      </w:r>
      <w:r>
        <w:tab/>
      </w:r>
      <w:r>
        <w:fldChar w:fldCharType="begin"/>
      </w:r>
      <w:r>
        <w:instrText xml:space="preserve"> PAGEREF _Toc256000024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"_Toc256000025" </w:instrText>
      </w:r>
      <w:r>
        <w:fldChar w:fldCharType="separate"/>
      </w:r>
      <w:r>
        <w:rPr>
          <w:rStyle w:val="Hyperlink"/>
        </w:rPr>
        <w:t>1.1.1.21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situatii financiare interimare si transmitere catre Dir. General</w:t>
      </w:r>
      <w:r>
        <w:tab/>
      </w:r>
      <w:r>
        <w:fldChar w:fldCharType="begin"/>
      </w:r>
      <w:r>
        <w:instrText xml:space="preserve"> PAGEREF _Toc256000025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"_Toc256000026" </w:instrText>
      </w:r>
      <w:r>
        <w:fldChar w:fldCharType="separate"/>
      </w:r>
      <w:r>
        <w:rPr>
          <w:rStyle w:val="Hyperlink"/>
        </w:rPr>
        <w:t>1.1.1.22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situatii financiare interimare</w:t>
      </w:r>
      <w:r>
        <w:tab/>
      </w:r>
      <w:r>
        <w:fldChar w:fldCharType="begin"/>
      </w:r>
      <w:r>
        <w:instrText xml:space="preserve"> PAGEREF _Toc256000026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"_Toc256000027" </w:instrText>
      </w:r>
      <w:r>
        <w:fldChar w:fldCharType="separate"/>
      </w:r>
      <w:r>
        <w:rPr>
          <w:rStyle w:val="Hyperlink"/>
        </w:rPr>
        <w:t>1.1.1.23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Actionariat pentru aprobare in CA</w:t>
      </w:r>
      <w:r>
        <w:tab/>
      </w:r>
      <w:r>
        <w:fldChar w:fldCharType="begin"/>
      </w:r>
      <w:r>
        <w:instrText xml:space="preserve"> PAGEREF _Toc256000027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"_Toc256000028" </w:instrText>
      </w:r>
      <w:r>
        <w:fldChar w:fldCharType="separate"/>
      </w:r>
      <w:r>
        <w:rPr>
          <w:rStyle w:val="Hyperlink"/>
        </w:rPr>
        <w:t>1.1.1.24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situatii financiare interimare</w:t>
      </w:r>
      <w:r>
        <w:tab/>
      </w:r>
      <w:r>
        <w:fldChar w:fldCharType="begin"/>
      </w:r>
      <w:r>
        <w:instrText xml:space="preserve"> PAGEREF _Toc256000028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"_Toc256000029" </w:instrText>
      </w:r>
      <w:r>
        <w:fldChar w:fldCharType="separate"/>
      </w:r>
      <w:r>
        <w:rPr>
          <w:rStyle w:val="Hyperlink"/>
        </w:rPr>
        <w:t>1.1.1.25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Re-semnare situatii financiare interimare si transmitere catre Dir. General</w:t>
      </w:r>
      <w:r>
        <w:tab/>
      </w:r>
      <w:r>
        <w:fldChar w:fldCharType="begin"/>
      </w:r>
      <w:r>
        <w:instrText xml:space="preserve"> PAGEREF _Toc256000029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"_Toc256000030" </w:instrText>
      </w:r>
      <w:r>
        <w:fldChar w:fldCharType="separate"/>
      </w:r>
      <w:r>
        <w:rPr>
          <w:rStyle w:val="Hyperlink"/>
        </w:rPr>
        <w:t>1.1.1.26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Re-semnare situatii financiare interimare</w:t>
      </w:r>
      <w:r>
        <w:tab/>
      </w:r>
      <w:r>
        <w:fldChar w:fldCharType="begin"/>
      </w:r>
      <w:r>
        <w:instrText xml:space="preserve"> PAGEREF _Toc256000030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"_Toc256000031" </w:instrText>
      </w:r>
      <w:r>
        <w:fldChar w:fldCharType="separate"/>
      </w:r>
      <w:r>
        <w:rPr>
          <w:rStyle w:val="Hyperlink"/>
        </w:rPr>
        <w:t>1.1.1.27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 situatii financiare interimare</w:t>
      </w:r>
      <w:r>
        <w:tab/>
      </w:r>
      <w:r>
        <w:fldChar w:fldCharType="begin"/>
      </w:r>
      <w:r>
        <w:instrText xml:space="preserve"> PAGEREF _Toc256000031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"_Toc256000032" </w:instrText>
      </w:r>
      <w:r>
        <w:fldChar w:fldCharType="separate"/>
      </w:r>
      <w:r>
        <w:rPr>
          <w:rStyle w:val="Hyperlink"/>
        </w:rPr>
        <w:t>1.1.1.28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Actionariat (format pdf sau fizic) si catre Guvernanta Corporativa (format word)</w:t>
      </w:r>
      <w:r>
        <w:tab/>
      </w:r>
      <w:r>
        <w:fldChar w:fldCharType="begin"/>
      </w:r>
      <w:r>
        <w:instrText xml:space="preserve"> PAGEREF _Toc256000032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"_Toc256000033" </w:instrText>
      </w:r>
      <w:r>
        <w:fldChar w:fldCharType="separate"/>
      </w:r>
      <w:r>
        <w:rPr>
          <w:rStyle w:val="Hyperlink"/>
        </w:rPr>
        <w:t>1.1.1.29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Biroul Guvernanta Corporativa</w:t>
      </w:r>
      <w:r>
        <w:tab/>
      </w:r>
      <w:r>
        <w:fldChar w:fldCharType="begin"/>
      </w:r>
      <w:r>
        <w:instrText xml:space="preserve"> PAGEREF _Toc256000033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"_Toc256000034" </w:instrText>
      </w:r>
      <w:r>
        <w:fldChar w:fldCharType="separate"/>
      </w:r>
      <w:r>
        <w:rPr>
          <w:rStyle w:val="Hyperlink"/>
        </w:rPr>
        <w:t>1.1.1.30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ASF si Bursa</w:t>
      </w:r>
      <w:r>
        <w:tab/>
      </w:r>
      <w:r>
        <w:fldChar w:fldCharType="begin"/>
      </w:r>
      <w:r>
        <w:instrText xml:space="preserve"> PAGEREF _Toc256000034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"_Toc256000035" </w:instrText>
      </w:r>
      <w:r>
        <w:fldChar w:fldCharType="separate"/>
      </w:r>
      <w:r>
        <w:rPr>
          <w:rStyle w:val="Hyperlink"/>
        </w:rPr>
        <w:t>1.1.1.31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de plata si declarare a impozitului pe profit</w:t>
      </w:r>
      <w:r>
        <w:tab/>
      </w:r>
      <w:r>
        <w:fldChar w:fldCharType="begin"/>
      </w:r>
      <w:r>
        <w:instrText xml:space="preserve"> PAGEREF _Toc256000035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"_Toc256000036" </w:instrText>
      </w:r>
      <w:r>
        <w:fldChar w:fldCharType="separate"/>
      </w:r>
      <w:r>
        <w:rPr>
          <w:rStyle w:val="Hyperlink"/>
        </w:rPr>
        <w:t>1.1.1.32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Inchiderea modulului Furnizori</w:t>
      </w:r>
      <w:r>
        <w:tab/>
      </w:r>
      <w:r>
        <w:fldChar w:fldCharType="begin"/>
      </w:r>
      <w:r>
        <w:instrText xml:space="preserve"> PAGEREF _Toc256000036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4"/>
          <w:footerReference w:type="default" r:id="rId15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Inchidere de trimestru</w:t>
      </w:r>
      <w:bookmarkEnd w:id="2"/>
    </w:p>
    <w:p>
      <w:pPr>
        <w:jc w:val="center"/>
      </w:pPr>
      <w:r>
        <w:drawing>
          <wp:inline>
            <wp:extent cx="7886700" cy="32004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activitățile întreprinse în cadrul procesului de închidere de trimestru până la transmiterea Balanței finală către Controlling în vederea raportării lunare</w:t>
      </w:r>
    </w:p>
    <w:p>
      <w:pPr>
        <w:pStyle w:val="bizHeading2"/>
      </w:pPr>
      <w:bookmarkStart w:id="3" w:name="b5ec768c-d7f3-4885-9a33-0c57568cb15e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45654423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Inchiderea preliminara de venituri si cheltuieli (incl. verificare si analiza)</w:t>
      </w:r>
      <w:bookmarkEnd w:id="6"/>
      <w:r>
        <w:t xml:space="preserve"> 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51356505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Inchiderea modulului GL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34295208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Balanta preliminara la Controlling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2138205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echivalenta Cont de profit si pierdere din Hyperion cu cel din Balanta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3369932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Contabilitate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4591269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Ajustare in modul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82648133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Responsabil Financiar</w:t>
      </w:r>
      <w:bookmarkEnd w:id="12"/>
    </w:p>
    <w:p/>
    <w:p>
      <w:pPr>
        <w:pStyle w:val="BoldModelerNormal"/>
        <w:spacing w:line="20" w:lineRule="atLeast"/>
      </w:pPr>
      <w:r>
        <w:t>Gates</w:t>
      </w:r>
    </w:p>
    <w:p>
      <w:pPr>
        <w:pStyle w:val="BoldModelerNormal"/>
        <w:spacing w:line="20" w:lineRule="atLeast"/>
      </w:pPr>
      <w:r>
        <w:t>Ajustare in modul</w:t>
      </w:r>
    </w:p>
    <w:p>
      <w:pPr>
        <w:pStyle w:val="bizHeading4"/>
      </w:pPr>
      <w:bookmarkStart w:id="13" w:name="_Toc256000012"/>
      <w:r>
        <w:drawing>
          <wp:inline>
            <wp:extent cx="152421" cy="152421"/>
            <wp:docPr id="13563697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Ajustare in modul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38676886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Ajustare in Hyperion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93146603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Calcul Servicii in curs de executie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3708882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Impozit pe profit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196302899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 servicii in curs de execuție in Contabilitate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139843458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 cont de venit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42857686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Actualizare calcul impozit pe profit curent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130097464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Calcul si inregistrare provizion pentru participare salariați la profit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157925887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Definitivare și transmitere Balanta  de verificare finala la Controlling</w:t>
      </w:r>
      <w:bookmarkEnd w:id="21"/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120320649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si primire informatii</w:t>
      </w:r>
      <w:bookmarkEnd w:id="22"/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8481746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Intocmire situatii financiare interimare</w:t>
      </w:r>
      <w:bookmarkEnd w:id="23"/>
      <w:r>
        <w:t xml:space="preserve"> </w:t>
      </w:r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59034420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situatii financiare interimare</w:t>
      </w:r>
      <w:bookmarkEnd w:id="24"/>
    </w:p>
    <w:p/>
    <w:p>
      <w:pPr>
        <w:pStyle w:val="bizHeading4"/>
      </w:pPr>
      <w:bookmarkStart w:id="25" w:name="_Toc256000024"/>
      <w:r>
        <w:drawing>
          <wp:inline>
            <wp:extent cx="152421" cy="152421"/>
            <wp:docPr id="1351829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Ajustare situatii financiare interimare</w:t>
      </w:r>
      <w:bookmarkEnd w:id="25"/>
    </w:p>
    <w:p/>
    <w:p>
      <w:pPr>
        <w:pStyle w:val="bizHeading4"/>
      </w:pPr>
      <w:bookmarkStart w:id="26" w:name="_Toc256000025"/>
      <w:r>
        <w:drawing>
          <wp:inline>
            <wp:extent cx="152421" cy="152421"/>
            <wp:docPr id="16740454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situatii financiare interimare si transmitere catre Dir. General</w:t>
      </w:r>
      <w:bookmarkEnd w:id="26"/>
    </w:p>
    <w:p/>
    <w:p>
      <w:pPr>
        <w:pStyle w:val="bizHeading4"/>
      </w:pPr>
      <w:bookmarkStart w:id="27" w:name="_Toc256000026"/>
      <w:r>
        <w:drawing>
          <wp:inline>
            <wp:extent cx="152421" cy="152421"/>
            <wp:docPr id="3456267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situatii financiare interimare</w:t>
      </w:r>
      <w:bookmarkEnd w:id="27"/>
    </w:p>
    <w:p/>
    <w:p>
      <w:pPr>
        <w:pStyle w:val="bizHeading4"/>
      </w:pPr>
      <w:bookmarkStart w:id="28" w:name="_Toc256000027"/>
      <w:r>
        <w:drawing>
          <wp:inline>
            <wp:extent cx="152421" cy="152421"/>
            <wp:docPr id="4671413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Actionariat pentru aprobare in CA</w:t>
      </w:r>
      <w:bookmarkEnd w:id="28"/>
    </w:p>
    <w:p/>
    <w:p>
      <w:pPr>
        <w:pStyle w:val="bizHeading4"/>
      </w:pPr>
      <w:bookmarkStart w:id="29" w:name="_Toc256000028"/>
      <w:r>
        <w:drawing>
          <wp:inline>
            <wp:extent cx="152421" cy="152421"/>
            <wp:docPr id="103515069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situatii financiare interimare</w:t>
      </w:r>
      <w:bookmarkEnd w:id="29"/>
    </w:p>
    <w:p/>
    <w:p>
      <w:pPr>
        <w:pStyle w:val="bizHeading4"/>
      </w:pPr>
      <w:bookmarkStart w:id="30" w:name="_Toc256000029"/>
      <w:r>
        <w:drawing>
          <wp:inline>
            <wp:extent cx="152421" cy="152421"/>
            <wp:docPr id="68485176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Re-semnare situatii financiare interimare si transmitere catre Dir. General</w:t>
      </w:r>
      <w:bookmarkEnd w:id="30"/>
    </w:p>
    <w:p/>
    <w:p>
      <w:pPr>
        <w:pStyle w:val="bizHeading4"/>
      </w:pPr>
      <w:bookmarkStart w:id="31" w:name="_Toc256000030"/>
      <w:r>
        <w:drawing>
          <wp:inline>
            <wp:extent cx="152421" cy="152421"/>
            <wp:docPr id="12445073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Re-semnare situatii financiare interimare</w:t>
      </w:r>
      <w:bookmarkEnd w:id="31"/>
    </w:p>
    <w:p/>
    <w:p>
      <w:pPr>
        <w:pStyle w:val="bizHeading4"/>
      </w:pPr>
      <w:bookmarkStart w:id="32" w:name="_Toc256000031"/>
      <w:r>
        <w:drawing>
          <wp:inline>
            <wp:extent cx="152421" cy="152421"/>
            <wp:docPr id="3283576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 situatii financiare interimare</w:t>
      </w:r>
      <w:bookmarkEnd w:id="32"/>
    </w:p>
    <w:p/>
    <w:p>
      <w:pPr>
        <w:pStyle w:val="bizHeading4"/>
      </w:pPr>
      <w:bookmarkStart w:id="33" w:name="_Toc256000032"/>
      <w:r>
        <w:drawing>
          <wp:inline>
            <wp:extent cx="152421" cy="152421"/>
            <wp:docPr id="132998486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Actionariat (format pdf sau fizic) si catre Guvernanta Corporativa (format word)</w:t>
      </w:r>
      <w:bookmarkEnd w:id="33"/>
    </w:p>
    <w:p/>
    <w:p>
      <w:pPr>
        <w:pStyle w:val="bizHeading4"/>
      </w:pPr>
      <w:bookmarkStart w:id="34" w:name="_Toc256000033"/>
      <w:r>
        <w:drawing>
          <wp:inline>
            <wp:extent cx="152421" cy="152421"/>
            <wp:docPr id="2498307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Biroul Guvernanta Corporativa</w:t>
      </w:r>
      <w:bookmarkEnd w:id="34"/>
    </w:p>
    <w:p/>
    <w:p>
      <w:pPr>
        <w:pStyle w:val="bizHeading4"/>
      </w:pPr>
      <w:bookmarkStart w:id="35" w:name="_Toc256000034"/>
      <w:r>
        <w:drawing>
          <wp:inline>
            <wp:extent cx="152421" cy="152421"/>
            <wp:docPr id="186817808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ASF si Bursa</w:t>
      </w:r>
      <w:bookmarkEnd w:id="35"/>
    </w:p>
    <w:p/>
    <w:p>
      <w:pPr>
        <w:pStyle w:val="bizHeading4"/>
      </w:pPr>
      <w:bookmarkStart w:id="36" w:name="_Toc256000035"/>
      <w:r>
        <w:drawing>
          <wp:inline>
            <wp:extent cx="152421" cy="152421"/>
            <wp:docPr id="7077910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de plata si declarare a impozitului pe profit</w:t>
      </w:r>
      <w:bookmarkEnd w:id="36"/>
    </w:p>
    <w:p/>
    <w:p>
      <w:pPr>
        <w:pStyle w:val="bizHeading4"/>
      </w:pPr>
      <w:bookmarkStart w:id="37" w:name="_Toc256000036"/>
      <w:r>
        <w:drawing>
          <wp:inline>
            <wp:extent cx="152421" cy="152421"/>
            <wp:docPr id="206467826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Inchiderea modulului Furnizori</w:t>
      </w:r>
      <w:bookmarkEnd w:id="37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27/04/2022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7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7D5458CA"/>
    <w:multiLevelType w:val="multilevel"/>
    <w:tmpl w:val="7D545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  <w:num w:numId="4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image" Target="media/image3.png" /><Relationship Id="rId14" Type="http://schemas.openxmlformats.org/officeDocument/2006/relationships/header" Target="header4.xml" /><Relationship Id="rId15" Type="http://schemas.openxmlformats.org/officeDocument/2006/relationships/footer" Target="footer4.xml" /><Relationship Id="rId16" Type="http://schemas.openxmlformats.org/officeDocument/2006/relationships/image" Target="media/image4.png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7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